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rFonts w:ascii="Times New Roman" w:hAnsi="Times New Roman" w:cs="Times New Roman"/>
          <w:b/>
          <w:bCs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  <w:t xml:space="preserve"> Отдел финансового планирования, бухгалтерского учета и  отчетности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ind w:firstLine="0"/>
        <w:jc w:val="left"/>
        <w:rPr>
          <w:rFonts w:ascii="Times New Roman" w:hAnsi="Times New Roman" w:cs="Times New Roman"/>
          <w:b/>
          <w:bCs/>
          <w:i/>
          <w:iCs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  <w:u w:val="none"/>
        </w:rPr>
        <w:t xml:space="preserve">                                                Ведущий консультант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  <w:u w:val="single"/>
        </w:rPr>
      </w:r>
    </w:p>
    <w:p>
      <w:pPr>
        <w:ind w:firstLine="709"/>
        <w:jc w:val="both"/>
        <w:rPr>
          <w:rFonts w:ascii="Times New Roman" w:hAnsi="Times New Roman" w:cs="Times New Roman"/>
          <w:b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высшее образование по специальностям, направлениям подготовки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«Экономика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«Менеджмент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наличие не менее одного года стажа гражданской службы или стажа работы по специальности, направлению подготовки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4"/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-4"/>
          <w:sz w:val="28"/>
          <w:szCs w:val="28"/>
        </w:rPr>
        <w:t xml:space="preserve">Краткое описание должностных обязанностей:</w:t>
      </w:r>
      <w:r>
        <w:rPr>
          <w:rFonts w:ascii="Times New Roman" w:hAnsi="Times New Roman" w:eastAsia="Times New Roman" w:cs="Times New Roman"/>
          <w:b/>
          <w:color w:val="000000" w:themeColor="text1"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pacing w:val="-4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осуществлять  руководство деятельностью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сфере финансового планирования, бухгалтерского учета и отчетности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 эффективное исполнение законодательства в рамках должностных обязанностей, установленных настоящим должностным регламен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беспечение подготовки правовых актов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вопросам финансового планирования, бухгалтерского учета и отчетности.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 соблюдать и обеспечивать исполнение обязанностей, уста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новленных  в </w:t>
      </w:r>
      <w:hyperlink r:id="rId8" w:tooltip="consultantplus://offline/ref=04DC95437D445E1F279FCE8C60144531B220FDDC4CA5A5E8D463C661B41EC13A1E47280F6B96193FGEhDH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</w:rPr>
          <w:t xml:space="preserve">статьях 15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18 Федерального закона от 27 июля 2004 года № 79-ФЗ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«О государственной гражданской службе Российской Федерации».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вести учет финансирования, кассовых расходов, возвратов средств и сложившихся в муниципальных районах и городских округах остатков;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составлять бюджетную отчетность в разрезе бюджетной классификации расходов и муниципальных образований на основании направленных отчетов от каждого муниципального образования;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tabs>
          <w:tab w:val="left" w:pos="413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вести учет по счету 0 201 34 000 «Касса», осуществляет операции по приему, выдаче и хранению денежных средств в строгом соответствии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экономической классификацией расходов бюджетов РФ с обязательным соблюдением правил, обеспечивающих их сохранность, несет полную материальную ответственность за сохранность денежных средств в соответствии с договором о полной материальной ответственности;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tabs>
          <w:tab w:val="left" w:pos="413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на основе приходных и расходных документов вести кассовую книгу, своевременно составляет и представлять кассовую отчетность;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tabs>
          <w:tab w:val="left" w:pos="413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вести учет операций по движению наличных денежных средств в Журнале операций № 1 «Касса» на основании кассовых отчетов;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tabs>
          <w:tab w:val="left" w:pos="413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соблюдать лимит остатка кассовой наличности,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установленного УФК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 Забайкальскому краю;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tabs>
          <w:tab w:val="left" w:pos="413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вести учет операций с денежными документами по счету 0 201 35 000, журнал по прочим операциям №8;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tabs>
          <w:tab w:val="left" w:pos="413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представлять Журналы операций начальнику отдела в срок до 10 числа, следующего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отчетным месяцем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tabs>
          <w:tab w:val="left" w:pos="413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вести учет регистрации всех бюджетных обязательств, поставленных на учет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вести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учет лимитов бюджетных обязательств, ассигнований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учет сводных данных об исполнении бюджета;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журнал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операций с безналичными денежными средствами 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учет по подотчетным лицам;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tabs>
          <w:tab w:val="left" w:pos="413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участвовать в составлении бюджетной росписи, распределении лимитов бюджетных обязательств для подведомственных получателей бюджетных средств в соответствии с ведомственной классификацией расходов краевого бюджета;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tabs>
          <w:tab w:val="left" w:pos="413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основании бюджетной росписи на текущий финансовый год и вносимых изме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нений вести учет объемов бюджетных ассигнований и лимитов бюджетных обязательств, составлять и направлять справки – уведомления в муниципальные образования о доведении объемов бюджетных ассигнований и лимитов бюджетных обязательств по выделяемым средствам;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tabs>
          <w:tab w:val="left" w:pos="413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ежемесячно в установленные сроки направлять в Министерство финансов Забайкальского края информацию (мониторинг) по уточненному плану по межбюджетным трансфертам, выделяемым из федерального и краевого бюджетов;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на основе годовой бюджетной росписи ежеквартально рассчитывать прогноз кассовых выплат из краевого бюджета;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tabs>
          <w:tab w:val="left" w:pos="413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производить расчёт прогнозов закупок для государственных нужд за счет средств бюджета субъекта;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tabs>
          <w:tab w:val="left" w:pos="413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осуществлять контроль за целевым использованием бюджетных средств, за представлением отчетности подведомственными получателями бюджетных средств;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tabs>
          <w:tab w:val="left" w:pos="413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составлять ежеквартальной, годовой бюджетной отчетности: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tabs>
          <w:tab w:val="left" w:pos="413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подбирать в хронологическом порядке и сброшюровывать по истечении каждого отчетного месяца все первичные учетные документы, относящиеся к учету основных средств и материальных запасов;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обеспечивать соблюдение требований правовых актов Министерства, устанавливающих порядок работы с персональными данными;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выполнять иные обязанности и функции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поручению министра, вышестоящего руководства, начальника отдела, касающиеся деятельности отдела, в том числе поручения министра направленные посредством электронных сообщений через корпоративную электронную почту Министерства с доменным именем: e-zab.ru.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Суханова Виктория Аркадьевна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04DC95437D445E1F279FCE8C60144531B220FDDC4CA5A5E8D463C661B41EC13A1E47280F6B96193FGEhD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steg</cp:lastModifiedBy>
  <cp:revision>1</cp:revision>
  <dcterms:modified xsi:type="dcterms:W3CDTF">2025-04-16T08:00:12Z</dcterms:modified>
</cp:coreProperties>
</file>